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2BF" w:rsidRDefault="007972BF" w:rsidP="007972BF">
      <w:pPr>
        <w:autoSpaceDE w:val="0"/>
        <w:autoSpaceDN w:val="0"/>
        <w:adjustRightInd w:val="0"/>
        <w:spacing w:after="120" w:line="240" w:lineRule="auto"/>
        <w:jc w:val="both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tbl>
      <w:tblPr>
        <w:tblW w:w="0" w:type="auto"/>
        <w:tblInd w:w="84" w:type="dxa"/>
        <w:tblLayout w:type="fixed"/>
        <w:tblLook w:val="0000"/>
      </w:tblPr>
      <w:tblGrid>
        <w:gridCol w:w="1740"/>
        <w:gridCol w:w="6150"/>
        <w:gridCol w:w="2115"/>
      </w:tblGrid>
      <w:tr w:rsidR="007972BF">
        <w:tblPrEx>
          <w:tblCellMar>
            <w:top w:w="0" w:type="dxa"/>
            <w:bottom w:w="0" w:type="dxa"/>
          </w:tblCellMar>
        </w:tblPrEx>
        <w:trPr>
          <w:trHeight w:val="1252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5247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533400" cy="847725"/>
                  <wp:effectExtent l="1905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847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lang/>
              </w:rPr>
            </w:pPr>
            <w:r>
              <w:rPr>
                <w:rFonts w:ascii="Calibri" w:hAnsi="Calibri" w:cs="Calibri"/>
                <w:noProof/>
              </w:rPr>
              <w:drawing>
                <wp:inline distT="0" distB="0" distL="0" distR="0">
                  <wp:extent cx="781050" cy="790575"/>
                  <wp:effectExtent l="1905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972B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174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6150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u w:val="single"/>
                <w:lang/>
              </w:rPr>
              <w:t>CONSILIUL LOCAL – U.A.T. -  MUNICIPIULUI BLAJ</w:t>
            </w:r>
          </w:p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 xml:space="preserve">PIATA 1848 nr.16, cod 515400 ;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jud.Alba</w:t>
            </w:r>
            <w:proofErr w:type="spellEnd"/>
          </w:p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tel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: 0258 -710110; fax: 0258-710014</w:t>
            </w:r>
          </w:p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  <w:lang/>
              </w:rPr>
              <w:t>e-mail: primarieblaj@rcnet.ro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7972BF" w:rsidRDefault="007972BF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</w:tc>
      </w:tr>
    </w:tbl>
    <w:p w:rsidR="007972BF" w:rsidRDefault="007972BF" w:rsidP="00797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HOTARAREA NR.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99</w:t>
      </w: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Din data de 31.03.2017</w:t>
      </w: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0"/>
          <w:szCs w:val="20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PRIVIND MODIFICAREA HOT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ĂRÂRII NR. 292/2016 SI A HOTARARII 30/2017  A CONSILIULUI LOCAL CU PRIVIRE LA STABILIREA IMPOZITELOR  SI TAXELOR LOCALE ALE MUNICIPIULUI BLAJ PENTRU ANUL 2017 CAT SI A FACILITATILOR ACORDATE IN CONDITIILE LEGII LA PLATA IMPOZITELOR SI TAXELOR LOCALE DIN MUNICIPIULUI BLAJ PENTRU ANUL 2017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696969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696969"/>
          <w:sz w:val="24"/>
          <w:szCs w:val="24"/>
          <w:lang/>
        </w:rPr>
        <w:t> 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'times new roman', times" w:hAnsi="'times new roman', times" w:cs="'times new roman', times"/>
          <w:color w:val="000000"/>
          <w:sz w:val="28"/>
          <w:szCs w:val="28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intrunit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sedinta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„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ordinara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”,  in data de 31.03.2017;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Luând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dezbatere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proiectul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hot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ărâre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privind modificarea HCL nr.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292/2016 si a HCL 30/2017   a Consiliului local cu privire la   stabilirea impozitelor  si taxelor locale ale municipiului Blaj pentru anul 2017 cat si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facilitatilor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acordate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conditiile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legii la plata impozitelor si taxelor locale din municipiului Blaj pentru anul 2017;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Având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vedere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raportul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nr.6779/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2017  al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care se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propune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modificarea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unor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valori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prevazute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6 din HCL nr. 292/2016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HCL 30/2017; 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Luand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considerare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adresa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societatiilor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comerciale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afectate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stabilirea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taxelor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prevazute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6 din HCL nr.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292/2016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HCL 30/2017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depusa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sediul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cu nr.6782/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24.03.2007 ;</w:t>
      </w:r>
      <w:proofErr w:type="gramEnd"/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vedere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avizele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comisiilor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Blaj;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Cunoscand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prevederile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art. 475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3 ,ale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art. 477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alin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4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 227/2015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Codul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fiscal ;</w:t>
      </w:r>
      <w:proofErr w:type="gramEnd"/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În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temeiul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art.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36 (4) lit. „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”, ale art. 45(2) lit. „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”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și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art. 115 (1) lit. „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”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 215/2001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privind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administrația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public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ă locală, republicată cu modificările și completările ulterioare,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696969"/>
          <w:sz w:val="24"/>
          <w:szCs w:val="24"/>
          <w:lang/>
        </w:rPr>
        <w:t xml:space="preserve">                                           </w:t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  <w:t xml:space="preserve">  CONSILIUL LOCAL AL MUNICIPIULUI BLAJ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  <w:tab/>
        <w:t xml:space="preserve">                         H O T A R A S T </w:t>
      </w:r>
      <w:proofErr w:type="gramStart"/>
      <w:r>
        <w:rPr>
          <w:rFonts w:ascii="Times New Roman" w:hAnsi="Times New Roman" w:cs="Times New Roman"/>
          <w:b/>
          <w:bCs/>
          <w:color w:val="1C1C1C"/>
          <w:sz w:val="24"/>
          <w:szCs w:val="24"/>
          <w:lang/>
        </w:rPr>
        <w:t>E :</w:t>
      </w:r>
      <w:proofErr w:type="gramEnd"/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color w:val="000000"/>
          <w:sz w:val="24"/>
          <w:szCs w:val="24"/>
          <w:lang/>
        </w:rPr>
        <w:t> 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'times new roman', times" w:hAnsi="'times new roman', times" w:cs="'times new roman', times"/>
          <w:color w:val="000000"/>
          <w:sz w:val="28"/>
          <w:szCs w:val="28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Art.1-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Consiliului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local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aproba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modificarea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anexei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6 din  Hot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ărârea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nr. 292/2016 si din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Hotararea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30/2017 privind stabilirea impozitelor  si taxelor locale ale municipiului Blaj pentru anul 2017 cat si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facilitatilor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acordate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conditiile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legii la plata impozitelor si taxelor locale din municipiului Blaj pentru anul 2017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dupa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cum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urmeaza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: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Anexa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6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Taxa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eliberarea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/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vizarea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anuala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autorizatiilor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functionare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-lei/an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COD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CAEN  561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( RESTAURANT)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Suprafata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pana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la 200 mp 1.500 lei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Suprafata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intre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201-500 mp -3000 lei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Suprafata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mai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mare de 500 mp -6000 lei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>COD CAEN 563(BAR, CAFENEA)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Cu program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nonstop  -</w:t>
      </w:r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2500 lei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Cu program normal   1.200 lei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Art.2.-Restul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din  Hot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ărârea</w:t>
      </w:r>
      <w:proofErr w:type="spellEnd"/>
      <w:proofErr w:type="gram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nr. 292/2016 si din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Hotararea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  30/2017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>raman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 w:val="ro-RO"/>
        </w:rPr>
        <w:t xml:space="preserve"> nemodificate </w:t>
      </w: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>Art.3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  <w:lang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duce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indeplinire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Art.4.-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va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comunica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Institutiei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Prefectului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judetului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Alba,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Blaj,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secretarului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Directiei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buget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finante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contabilitate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cadrul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aparatului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specialitate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al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Primarului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municipiului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Blaj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celor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interesati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Art.5.-Cu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drept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contestatie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in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termen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30 de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zile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de la data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adoptarii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prezentei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hotarari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la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instanta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competenta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, conform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prevederilor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legale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– ale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legii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contenciosului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administrativ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nr.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554 / 2004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modificarile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si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completarile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ulterioare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.</w:t>
      </w:r>
      <w:proofErr w:type="gramEnd"/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0"/>
          <w:szCs w:val="20"/>
          <w:lang/>
        </w:rPr>
        <w:t xml:space="preserve">    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Art.6.-Prezenta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hotarare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a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fost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adoptata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cu un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numar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de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16 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voturi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« 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pentru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> »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valabil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/>
        </w:rPr>
        <w:t>exprimate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  </w:t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  PRESEDINTE DE SEDINTA,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CONTRASEMNEAZA,</w:t>
      </w: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CONSILIER,</w:t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sz w:val="24"/>
          <w:szCs w:val="24"/>
          <w:lang/>
        </w:rPr>
        <w:tab/>
        <w:t xml:space="preserve">                                  SECRETAR,</w:t>
      </w:r>
    </w:p>
    <w:p w:rsidR="007972BF" w:rsidRDefault="007972BF" w:rsidP="007972B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Balu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Dan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  <w:t xml:space="preserve">                                          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Stefanescu</w:t>
      </w:r>
      <w:proofErr w:type="spellEnd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>Sergiu</w:t>
      </w:r>
      <w:proofErr w:type="spellEnd"/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sz w:val="24"/>
          <w:szCs w:val="24"/>
          <w:lang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lang/>
        </w:rPr>
        <w:tab/>
      </w:r>
    </w:p>
    <w:p w:rsidR="007972BF" w:rsidRDefault="007972BF" w:rsidP="007972BF">
      <w:pPr>
        <w:autoSpaceDE w:val="0"/>
        <w:autoSpaceDN w:val="0"/>
        <w:adjustRightInd w:val="0"/>
        <w:spacing w:after="120" w:line="240" w:lineRule="auto"/>
        <w:ind w:left="420"/>
        <w:jc w:val="both"/>
        <w:rPr>
          <w:rFonts w:ascii="Calibri" w:hAnsi="Calibri" w:cs="Calibri"/>
          <w:lang/>
        </w:rPr>
      </w:pPr>
    </w:p>
    <w:p w:rsidR="00EF0FE5" w:rsidRDefault="00EF0FE5"/>
    <w:sectPr w:rsidR="00EF0FE5" w:rsidSect="00D751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'times new roman', 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72BF"/>
    <w:rsid w:val="007972BF"/>
    <w:rsid w:val="00EF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7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2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574</Words>
  <Characters>3277</Characters>
  <Application>Microsoft Office Word</Application>
  <DocSecurity>0</DocSecurity>
  <Lines>27</Lines>
  <Paragraphs>7</Paragraphs>
  <ScaleCrop>false</ScaleCrop>
  <Company/>
  <LinksUpToDate>false</LinksUpToDate>
  <CharactersWithSpaces>3844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Radio Blaj</dc:creator>
  <cp:keywords/>
  <dc:description/>
  <cp:lastModifiedBy>Radio Blaj</cp:lastModifiedBy>
  <cp:revision>2</cp:revision>
  <dcterms:created xsi:type="dcterms:W3CDTF">2017-04-12T11:24:00Z</dcterms:created>
  <dcterms:modified xsi:type="dcterms:W3CDTF">2017-04-12T11:24:00Z</dcterms:modified>
</cp:coreProperties>
</file>