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3" w:rsidRDefault="005B49D3" w:rsidP="005B49D3">
      <w:pPr>
        <w:rPr>
          <w:b/>
          <w:color w:val="000000"/>
          <w:sz w:val="20"/>
          <w:szCs w:val="20"/>
        </w:rPr>
      </w:pPr>
    </w:p>
    <w:p w:rsidR="005B49D3" w:rsidRDefault="005B49D3" w:rsidP="005B49D3">
      <w:pPr>
        <w:jc w:val="both"/>
        <w:rPr>
          <w:b/>
          <w:bCs/>
          <w:color w:val="000000"/>
          <w:lang w:val="fr-FR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1800"/>
        <w:gridCol w:w="6150"/>
        <w:gridCol w:w="1830"/>
      </w:tblGrid>
      <w:tr w:rsidR="005B49D3" w:rsidTr="008A0C78">
        <w:trPr>
          <w:trHeight w:val="1252"/>
        </w:trPr>
        <w:tc>
          <w:tcPr>
            <w:tcW w:w="1800" w:type="dxa"/>
            <w:shd w:val="clear" w:color="auto" w:fill="auto"/>
          </w:tcPr>
          <w:p w:rsidR="005B49D3" w:rsidRDefault="005B49D3" w:rsidP="008A0C78">
            <w:r>
              <w:rPr>
                <w:b/>
                <w:noProof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5B49D3" w:rsidRDefault="005B49D3" w:rsidP="008A0C7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5B49D3" w:rsidRDefault="005B49D3" w:rsidP="008A0C78">
            <w:pPr>
              <w:jc w:val="right"/>
            </w:pPr>
            <w:r>
              <w:rPr>
                <w:b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D3" w:rsidTr="008A0C78"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B49D3" w:rsidRDefault="005B49D3" w:rsidP="008A0C78">
            <w:pPr>
              <w:snapToGrid w:val="0"/>
              <w:rPr>
                <w:rFonts w:ascii="Arial-Rom" w:hAnsi="Arial-Rom" w:cs="Arial-Rom"/>
                <w:b/>
                <w:lang w:val="en-GB"/>
              </w:rPr>
            </w:pP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auto"/>
          </w:tcPr>
          <w:p w:rsidR="005B49D3" w:rsidRDefault="005B49D3" w:rsidP="008A0C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CONSILIUL LOCAL – U.A.T. - MUNICIPIULUI BLAJ</w:t>
            </w:r>
          </w:p>
          <w:p w:rsidR="005B49D3" w:rsidRDefault="005B49D3" w:rsidP="008A0C78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 xml:space="preserve">PIATA 1848 nr.16, cod 515400 ; </w:t>
            </w:r>
            <w:proofErr w:type="spellStart"/>
            <w:r>
              <w:rPr>
                <w:b/>
                <w:sz w:val="20"/>
              </w:rPr>
              <w:t>jud.Alba</w:t>
            </w:r>
            <w:proofErr w:type="spellEnd"/>
          </w:p>
          <w:p w:rsidR="005B49D3" w:rsidRDefault="005B49D3" w:rsidP="008A0C7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pt-BR"/>
              </w:rPr>
              <w:t>tel: 0258 -710110; fax: 0258-710014</w:t>
            </w:r>
          </w:p>
          <w:p w:rsidR="005B49D3" w:rsidRDefault="005B49D3" w:rsidP="008A0C78">
            <w:pPr>
              <w:jc w:val="center"/>
              <w:rPr>
                <w:rFonts w:ascii="Arial-Rom" w:hAnsi="Arial-Rom" w:cs="Arial-Rom"/>
                <w:b/>
                <w:lang w:val="en-GB"/>
              </w:rPr>
            </w:pPr>
            <w:r>
              <w:rPr>
                <w:b/>
                <w:sz w:val="20"/>
                <w:lang w:val="fr-FR"/>
              </w:rPr>
              <w:t>e-mail: primarieblaj@rcnet.ro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5B49D3" w:rsidRDefault="005B49D3" w:rsidP="008A0C78">
            <w:pPr>
              <w:snapToGrid w:val="0"/>
              <w:rPr>
                <w:rFonts w:ascii="Arial-Rom" w:hAnsi="Arial-Rom" w:cs="Arial-Rom"/>
                <w:b/>
                <w:lang w:val="en-GB"/>
              </w:rPr>
            </w:pPr>
          </w:p>
        </w:tc>
      </w:tr>
    </w:tbl>
    <w:p w:rsidR="005B49D3" w:rsidRDefault="005B49D3" w:rsidP="005B49D3">
      <w:pPr>
        <w:rPr>
          <w:b/>
          <w:sz w:val="20"/>
          <w:u w:val="single"/>
          <w:lang w:val="pt-BR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5B49D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HOTARAREA NR. 235                                                                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</w:pPr>
      <w:r w:rsidRPr="005B49D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Din data de 27.09.2016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</w:pPr>
    </w:p>
    <w:p w:rsidR="005B49D3" w:rsidRPr="005B49D3" w:rsidRDefault="005B49D3" w:rsidP="005B49D3">
      <w:pPr>
        <w:ind w:left="1440"/>
        <w:rPr>
          <w:rFonts w:ascii="Times New Roman" w:eastAsia="Arial-Rom" w:hAnsi="Times New Roman" w:cs="Times New Roman"/>
          <w:b/>
          <w:sz w:val="20"/>
          <w:szCs w:val="20"/>
          <w:lang w:val="pt-B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pt-BR"/>
        </w:rPr>
        <w:t xml:space="preserve">PRIVIND ATRIBUIREA TERENULUI AFERENT CONSTRUCTIILOR CONFORM </w:t>
      </w:r>
    </w:p>
    <w:p w:rsidR="005B49D3" w:rsidRPr="005B49D3" w:rsidRDefault="005B49D3" w:rsidP="005B49D3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B49D3">
        <w:rPr>
          <w:rFonts w:ascii="Times New Roman" w:eastAsia="Arial-Rom" w:hAnsi="Times New Roman" w:cs="Times New Roman"/>
          <w:b/>
          <w:sz w:val="20"/>
          <w:szCs w:val="20"/>
          <w:lang w:val="pt-BR"/>
        </w:rPr>
        <w:t xml:space="preserve">       </w:t>
      </w:r>
      <w:r w:rsidRPr="005B49D3">
        <w:rPr>
          <w:rFonts w:ascii="Times New Roman" w:hAnsi="Times New Roman" w:cs="Times New Roman"/>
          <w:b/>
          <w:sz w:val="20"/>
          <w:szCs w:val="20"/>
        </w:rPr>
        <w:t xml:space="preserve">ART. </w:t>
      </w:r>
      <w:proofErr w:type="gramStart"/>
      <w:r w:rsidRPr="005B49D3">
        <w:rPr>
          <w:rFonts w:ascii="Times New Roman" w:hAnsi="Times New Roman" w:cs="Times New Roman"/>
          <w:b/>
          <w:sz w:val="20"/>
          <w:szCs w:val="20"/>
        </w:rPr>
        <w:t>36 DIN LEGEA NR.</w:t>
      </w:r>
      <w:proofErr w:type="gramEnd"/>
      <w:r w:rsidRPr="005B49D3">
        <w:rPr>
          <w:rFonts w:ascii="Times New Roman" w:hAnsi="Times New Roman" w:cs="Times New Roman"/>
          <w:b/>
          <w:sz w:val="20"/>
          <w:szCs w:val="20"/>
        </w:rPr>
        <w:t xml:space="preserve"> 18/1991 PRIN ORDINUL PREFECTULUI</w:t>
      </w:r>
    </w:p>
    <w:p w:rsidR="005B49D3" w:rsidRPr="005B49D3" w:rsidRDefault="005B49D3" w:rsidP="005B49D3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Blaj ,</w:t>
      </w:r>
      <w:proofErr w:type="gram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intrunit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sedinta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„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ordinara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”,  in data de 27.09.2016;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Luand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dezbatere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Proiectul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hotarare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atribuirea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proprietate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solicitantilor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(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proprietari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constructiilor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)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terenul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aferent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constructiilor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;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Analizand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raportul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18633/20.09.2016 cat si nota de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fundamentare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18634/20.09.2016 ale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Biroului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urbanism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amenajarea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teritoriului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administrarea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domeniului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public si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privat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aparatului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al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Primarului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precum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cererile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cetatenilor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care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solicita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atribuirea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terenului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aferent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constructiilor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conform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art. 36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18/1991,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republicata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modificata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169/1997;</w:t>
      </w:r>
    </w:p>
    <w:p w:rsidR="005B49D3" w:rsidRPr="005B49D3" w:rsidRDefault="005B49D3" w:rsidP="005B49D3">
      <w:pPr>
        <w:pStyle w:val="NoSpacing"/>
        <w:rPr>
          <w:rFonts w:cs="Times New Roman"/>
          <w:b/>
          <w:sz w:val="20"/>
          <w:szCs w:val="20"/>
          <w:lang w:val="fr-FR"/>
        </w:rPr>
      </w:pPr>
      <w:r w:rsidRPr="005B49D3">
        <w:rPr>
          <w:rFonts w:cs="Times New Roman"/>
          <w:b/>
          <w:bCs/>
          <w:sz w:val="20"/>
          <w:szCs w:val="20"/>
          <w:lang w:val="fr-FR"/>
        </w:rPr>
        <w:tab/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Avand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in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vedere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avizele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comisiilor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specialitate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ale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Consiliulului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Local al </w:t>
      </w:r>
      <w:proofErr w:type="spellStart"/>
      <w:r w:rsidRPr="005B49D3">
        <w:rPr>
          <w:rFonts w:cs="Times New Roman"/>
          <w:b/>
          <w:bCs/>
          <w:sz w:val="20"/>
          <w:szCs w:val="20"/>
          <w:lang w:val="fr-FR"/>
        </w:rPr>
        <w:t>Municipiului</w:t>
      </w:r>
      <w:proofErr w:type="spellEnd"/>
      <w:r w:rsidRPr="005B49D3">
        <w:rPr>
          <w:rFonts w:cs="Times New Roman"/>
          <w:b/>
          <w:bCs/>
          <w:sz w:val="20"/>
          <w:szCs w:val="20"/>
          <w:lang w:val="fr-FR"/>
        </w:rPr>
        <w:t xml:space="preserve"> Blaj;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Cunoscand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art. 36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18/1991, </w:t>
      </w:r>
      <w:proofErr w:type="spellStart"/>
      <w:proofErr w:type="gram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republicata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,</w:t>
      </w:r>
      <w:proofErr w:type="gram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58/1974,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215/2001,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repubilcata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cu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modificarile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completarile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ulterioare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;</w:t>
      </w:r>
    </w:p>
    <w:p w:rsidR="005B49D3" w:rsidRPr="005B49D3" w:rsidRDefault="005B49D3" w:rsidP="005B49D3">
      <w:pPr>
        <w:pStyle w:val="BodyText"/>
        <w:rPr>
          <w:rFonts w:cs="Times New Roman"/>
          <w:b/>
          <w:bCs/>
          <w:sz w:val="20"/>
          <w:szCs w:val="20"/>
          <w:lang w:val="fr-FR"/>
        </w:rPr>
      </w:pPr>
      <w:r w:rsidRPr="005B49D3">
        <w:rPr>
          <w:rFonts w:cs="Times New Roman"/>
          <w:b/>
          <w:bCs/>
          <w:sz w:val="20"/>
          <w:szCs w:val="20"/>
        </w:rPr>
        <w:tab/>
      </w:r>
      <w:proofErr w:type="gramStart"/>
      <w:r w:rsidRPr="005B49D3">
        <w:rPr>
          <w:rFonts w:cs="Times New Roman"/>
          <w:b/>
          <w:bCs/>
          <w:sz w:val="20"/>
          <w:szCs w:val="20"/>
        </w:rPr>
        <w:t xml:space="preserve">In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temeiul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art.</w:t>
      </w:r>
      <w:proofErr w:type="gramEnd"/>
      <w:r w:rsidRPr="005B49D3">
        <w:rPr>
          <w:rFonts w:cs="Times New Roman"/>
          <w:b/>
          <w:bCs/>
          <w:sz w:val="20"/>
          <w:szCs w:val="20"/>
        </w:rPr>
        <w:t xml:space="preserve"> 36</w:t>
      </w:r>
      <w:proofErr w:type="gramStart"/>
      <w:r w:rsidRPr="005B49D3">
        <w:rPr>
          <w:rFonts w:cs="Times New Roman"/>
          <w:b/>
          <w:bCs/>
          <w:sz w:val="20"/>
          <w:szCs w:val="20"/>
        </w:rPr>
        <w:t>,38</w:t>
      </w:r>
      <w:proofErr w:type="gramEnd"/>
      <w:r w:rsidRPr="005B49D3">
        <w:rPr>
          <w:rFonts w:cs="Times New Roman"/>
          <w:b/>
          <w:bCs/>
          <w:sz w:val="20"/>
          <w:szCs w:val="20"/>
        </w:rPr>
        <w:t xml:space="preserve">, 39, 45,46 din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Legea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nr. 215/2001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privind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ad-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tia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publica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locala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republicata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cu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modificarile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si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completarile</w:t>
      </w:r>
      <w:proofErr w:type="spellEnd"/>
      <w:r w:rsidRPr="005B49D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5B49D3">
        <w:rPr>
          <w:rFonts w:cs="Times New Roman"/>
          <w:b/>
          <w:bCs/>
          <w:sz w:val="20"/>
          <w:szCs w:val="20"/>
        </w:rPr>
        <w:t>ulterioare</w:t>
      </w:r>
      <w:proofErr w:type="spellEnd"/>
      <w:r w:rsidRPr="005B49D3">
        <w:rPr>
          <w:rFonts w:cs="Times New Roman"/>
          <w:b/>
          <w:bCs/>
          <w:sz w:val="20"/>
          <w:szCs w:val="20"/>
        </w:rPr>
        <w:t>;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lastRenderedPageBreak/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</w:rPr>
        <w:t xml:space="preserve">CONSILIUL LOCAL AL MUNICIPIULUI BLAJ 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B49D3">
        <w:rPr>
          <w:rFonts w:ascii="Times New Roman" w:hAnsi="Times New Roman" w:cs="Times New Roman"/>
          <w:b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5B49D3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 xml:space="preserve">H O T A R A S T E </w:t>
      </w:r>
      <w:r w:rsidRPr="005B49D3">
        <w:rPr>
          <w:rFonts w:ascii="Times New Roman" w:hAnsi="Times New Roman" w:cs="Times New Roman"/>
          <w:b/>
          <w:sz w:val="20"/>
          <w:szCs w:val="20"/>
          <w:lang w:val="pt-BR"/>
        </w:rPr>
        <w:t>: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pt-BR"/>
        </w:rPr>
        <w:tab/>
        <w:t>Art.1.- Consiliul Local al Municipiului Blaj propune Prefectului judetului Alba sa atribuie in proprietate solicitantilor (proprietari ai constructiilor) terenul aferent constructiilor ,conform anexei parte integranta din prezenta hotarare.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pt-B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Art.2.-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Biroul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urbanism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amenajarea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teritoriului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administrarea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domeniului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public si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privat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Primariei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 va duce la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indeplinire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prezentei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hotarari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.</w:t>
      </w:r>
    </w:p>
    <w:p w:rsidR="005B49D3" w:rsidRPr="005B49D3" w:rsidRDefault="005B49D3" w:rsidP="005B49D3">
      <w:pPr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  <w:t xml:space="preserve">Art.3.-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Prezanta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hotarare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se va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comunica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Institutia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Prefectului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-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judetul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Alba,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Primarului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secretarului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Blaj,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biroului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urbanism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aparatului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propriu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al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Consiliului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local al </w:t>
      </w:r>
      <w:proofErr w:type="spellStart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Blaj.</w:t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sz w:val="20"/>
          <w:szCs w:val="20"/>
          <w:lang w:val="fr-FR"/>
        </w:rPr>
        <w:tab/>
      </w:r>
    </w:p>
    <w:p w:rsidR="005B49D3" w:rsidRPr="005B49D3" w:rsidRDefault="005B49D3" w:rsidP="005B49D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  <w:t xml:space="preserve">Art.4.-Cu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drept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contestatie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in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termen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30 de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zile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la data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adoptarii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prezentei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hotarari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la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instanta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competenta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,</w:t>
      </w:r>
      <w:proofErr w:type="gram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conform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prevederilor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legale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– ale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legii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contenciosului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administrativ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nr.554 / 2004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cu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modificarile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si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completarile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ulterioare</w:t>
      </w:r>
      <w:proofErr w:type="spellEnd"/>
      <w:r w:rsidRPr="005B49D3">
        <w:rPr>
          <w:rFonts w:ascii="Times New Roman" w:hAnsi="Times New Roman" w:cs="Times New Roman"/>
          <w:b/>
          <w:bCs/>
          <w:sz w:val="20"/>
          <w:szCs w:val="20"/>
          <w:lang w:val="fr-FR"/>
        </w:rPr>
        <w:t>.</w:t>
      </w:r>
    </w:p>
    <w:p w:rsidR="005B49D3" w:rsidRPr="005B49D3" w:rsidRDefault="005B49D3" w:rsidP="005B49D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Art.5.-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fost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adoptata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numar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17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voturi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»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valabil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exprimate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5B49D3" w:rsidRPr="005B49D3" w:rsidRDefault="005B49D3" w:rsidP="005B49D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5B49D3" w:rsidRPr="005B49D3" w:rsidRDefault="005B49D3" w:rsidP="005B49D3">
      <w:pPr>
        <w:ind w:left="4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PRESEDINTE DE SEDINTA,</w:t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CONTRASEMNEAZA,</w:t>
      </w:r>
    </w:p>
    <w:p w:rsidR="005B49D3" w:rsidRPr="005B49D3" w:rsidRDefault="005B49D3" w:rsidP="005B49D3">
      <w:pPr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bCs/>
          <w:sz w:val="20"/>
          <w:szCs w:val="20"/>
        </w:rPr>
        <w:t xml:space="preserve">         CONSILIER,</w:t>
      </w:r>
      <w:r w:rsidRPr="005B49D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49D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SECRETAR,</w:t>
      </w:r>
    </w:p>
    <w:p w:rsidR="005B49D3" w:rsidRPr="005B49D3" w:rsidRDefault="005B49D3" w:rsidP="005B49D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Marcu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Silvia</w:t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</w:t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</w:t>
      </w:r>
      <w:proofErr w:type="spellStart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Stefanescu</w:t>
      </w:r>
      <w:proofErr w:type="spellEnd"/>
      <w:r w:rsidRPr="005B49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Sergiu</w:t>
      </w:r>
    </w:p>
    <w:p w:rsidR="00C53455" w:rsidRDefault="00C53455"/>
    <w:sectPr w:rsidR="00C5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Rom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49D3"/>
    <w:rsid w:val="005B49D3"/>
    <w:rsid w:val="00C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9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5B49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qFormat/>
    <w:rsid w:val="005B49D3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2016-10-09T18:12:00Z</dcterms:created>
  <dcterms:modified xsi:type="dcterms:W3CDTF">2016-10-09T18:13:00Z</dcterms:modified>
</cp:coreProperties>
</file>